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3D" w:rsidRDefault="00652E3D" w:rsidP="006D5D89">
      <w:pPr>
        <w:spacing w:after="0" w:line="240" w:lineRule="auto"/>
        <w:jc w:val="center"/>
        <w:rPr>
          <w:rFonts w:ascii="Times New Roman" w:hAnsi="Times New Roman" w:cs="Times New Roman"/>
          <w:b/>
          <w:sz w:val="28"/>
          <w:u w:val="single"/>
          <w:lang w:val="es-ES"/>
        </w:rPr>
      </w:pPr>
      <w:bookmarkStart w:id="0" w:name="_GoBack"/>
      <w:bookmarkEnd w:id="0"/>
      <w:r>
        <w:rPr>
          <w:rFonts w:ascii="Times New Roman" w:hAnsi="Times New Roman" w:cs="Times New Roman"/>
          <w:b/>
          <w:noProof/>
          <w:sz w:val="28"/>
          <w:u w:val="single"/>
          <w:lang w:eastAsia="es-AR"/>
        </w:rPr>
        <w:drawing>
          <wp:inline distT="0" distB="0" distL="0" distR="0">
            <wp:extent cx="2419350" cy="9587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TCA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6844" cy="973609"/>
                    </a:xfrm>
                    <a:prstGeom prst="rect">
                      <a:avLst/>
                    </a:prstGeom>
                  </pic:spPr>
                </pic:pic>
              </a:graphicData>
            </a:graphic>
          </wp:inline>
        </w:drawing>
      </w:r>
    </w:p>
    <w:p w:rsidR="00652E3D" w:rsidRDefault="00652E3D" w:rsidP="006D5D89">
      <w:pPr>
        <w:spacing w:after="0" w:line="240" w:lineRule="auto"/>
        <w:jc w:val="center"/>
        <w:rPr>
          <w:rFonts w:ascii="Times New Roman" w:hAnsi="Times New Roman" w:cs="Times New Roman"/>
          <w:b/>
          <w:sz w:val="28"/>
          <w:u w:val="single"/>
          <w:lang w:val="es-ES"/>
        </w:rPr>
      </w:pPr>
    </w:p>
    <w:p w:rsidR="00652E3D" w:rsidRDefault="00652E3D" w:rsidP="006D5D89">
      <w:pPr>
        <w:spacing w:after="0" w:line="240" w:lineRule="auto"/>
        <w:jc w:val="center"/>
        <w:rPr>
          <w:rFonts w:ascii="Times New Roman" w:hAnsi="Times New Roman" w:cs="Times New Roman"/>
          <w:b/>
          <w:sz w:val="28"/>
          <w:u w:val="single"/>
          <w:lang w:val="es-ES"/>
        </w:rPr>
      </w:pPr>
    </w:p>
    <w:p w:rsidR="00652E3D" w:rsidRDefault="00652E3D" w:rsidP="006D5D89">
      <w:pPr>
        <w:spacing w:after="0" w:line="240" w:lineRule="auto"/>
        <w:jc w:val="center"/>
        <w:rPr>
          <w:rFonts w:ascii="Times New Roman" w:hAnsi="Times New Roman" w:cs="Times New Roman"/>
          <w:b/>
          <w:sz w:val="28"/>
          <w:u w:val="single"/>
          <w:lang w:val="es-ES"/>
        </w:rPr>
      </w:pPr>
    </w:p>
    <w:p w:rsidR="006D5D89" w:rsidRPr="007B371A" w:rsidRDefault="00652E3D" w:rsidP="00652E3D">
      <w:pPr>
        <w:spacing w:after="0" w:line="240" w:lineRule="auto"/>
        <w:ind w:firstLine="708"/>
        <w:jc w:val="center"/>
        <w:rPr>
          <w:rFonts w:cstheme="minorHAnsi"/>
          <w:b/>
          <w:sz w:val="32"/>
          <w:szCs w:val="32"/>
          <w:lang w:val="es-ES"/>
        </w:rPr>
      </w:pPr>
      <w:r w:rsidRPr="007B371A">
        <w:rPr>
          <w:rFonts w:cstheme="minorHAnsi"/>
          <w:b/>
          <w:sz w:val="32"/>
          <w:szCs w:val="32"/>
          <w:lang w:val="es-ES"/>
        </w:rPr>
        <w:t>T</w:t>
      </w:r>
      <w:r w:rsidR="007B371A">
        <w:rPr>
          <w:rFonts w:cstheme="minorHAnsi"/>
          <w:b/>
          <w:sz w:val="32"/>
          <w:szCs w:val="32"/>
          <w:lang w:val="es-ES"/>
        </w:rPr>
        <w:t>ransformación D</w:t>
      </w:r>
      <w:r w:rsidR="006D5D89" w:rsidRPr="007B371A">
        <w:rPr>
          <w:rFonts w:cstheme="minorHAnsi"/>
          <w:b/>
          <w:sz w:val="32"/>
          <w:szCs w:val="32"/>
          <w:lang w:val="es-ES"/>
        </w:rPr>
        <w:t xml:space="preserve">igital </w:t>
      </w:r>
      <w:r w:rsidR="007B371A">
        <w:rPr>
          <w:rFonts w:cstheme="minorHAnsi"/>
          <w:b/>
          <w:sz w:val="32"/>
          <w:szCs w:val="32"/>
          <w:lang w:val="es-ES"/>
        </w:rPr>
        <w:t>I</w:t>
      </w:r>
      <w:r w:rsidR="006D5D89" w:rsidRPr="007B371A">
        <w:rPr>
          <w:rFonts w:cstheme="minorHAnsi"/>
          <w:b/>
          <w:sz w:val="32"/>
          <w:szCs w:val="32"/>
          <w:lang w:val="es-ES"/>
        </w:rPr>
        <w:t>ntegral (TDI)</w:t>
      </w:r>
      <w:r w:rsidR="0061453D" w:rsidRPr="007B371A">
        <w:rPr>
          <w:rFonts w:cstheme="minorHAnsi"/>
          <w:b/>
          <w:sz w:val="32"/>
          <w:szCs w:val="32"/>
          <w:lang w:val="es-ES"/>
        </w:rPr>
        <w:t xml:space="preserve"> de TCA</w:t>
      </w:r>
    </w:p>
    <w:p w:rsidR="006074DD" w:rsidRPr="007B371A" w:rsidRDefault="006074DD" w:rsidP="006D5D89">
      <w:pPr>
        <w:spacing w:after="0" w:line="240" w:lineRule="auto"/>
        <w:jc w:val="center"/>
        <w:rPr>
          <w:rFonts w:cstheme="minorHAnsi"/>
          <w:sz w:val="24"/>
          <w:lang w:val="es-ES"/>
        </w:rPr>
      </w:pPr>
    </w:p>
    <w:p w:rsidR="000E4D40" w:rsidRDefault="000E4D40" w:rsidP="005203FF">
      <w:pPr>
        <w:spacing w:after="0" w:line="240" w:lineRule="auto"/>
        <w:jc w:val="both"/>
        <w:rPr>
          <w:rFonts w:cstheme="minorHAnsi"/>
          <w:lang w:val="es-ES"/>
        </w:rPr>
      </w:pPr>
    </w:p>
    <w:p w:rsidR="000E4D40" w:rsidRPr="007B371A" w:rsidRDefault="000E4D40" w:rsidP="003D343A">
      <w:pPr>
        <w:spacing w:after="0" w:line="240" w:lineRule="auto"/>
        <w:jc w:val="both"/>
        <w:rPr>
          <w:rFonts w:cstheme="minorHAnsi"/>
          <w:lang w:val="es-ES"/>
        </w:rPr>
      </w:pPr>
      <w:r w:rsidRPr="00657BA7">
        <w:rPr>
          <w:rFonts w:cstheme="minorHAnsi"/>
          <w:lang w:val="es-ES"/>
        </w:rPr>
        <w:t>Ezeiza, 2</w:t>
      </w:r>
      <w:r w:rsidR="003D343A">
        <w:rPr>
          <w:rFonts w:cstheme="minorHAnsi"/>
          <w:lang w:val="es-ES"/>
        </w:rPr>
        <w:t>5</w:t>
      </w:r>
      <w:r w:rsidRPr="00657BA7">
        <w:rPr>
          <w:rFonts w:cstheme="minorHAnsi"/>
          <w:lang w:val="es-ES"/>
        </w:rPr>
        <w:t xml:space="preserve"> de agosto de 2023 - En un mundo en constante evolución, la Terminal de Cargas Argentina (TCA) se encuentra en el epicentro de </w:t>
      </w:r>
      <w:r w:rsidR="00173C07">
        <w:rPr>
          <w:rFonts w:cstheme="minorHAnsi"/>
          <w:lang w:val="es-ES"/>
        </w:rPr>
        <w:t xml:space="preserve">nuevos </w:t>
      </w:r>
      <w:r w:rsidRPr="00657BA7">
        <w:rPr>
          <w:rFonts w:cstheme="minorHAnsi"/>
          <w:lang w:val="es-ES"/>
        </w:rPr>
        <w:t>desafíos hacia la modernización y la eficiencia, embarcándose en una Transformación Digital Integral (TDI) que redefine el futuro de la logística.</w:t>
      </w:r>
    </w:p>
    <w:p w:rsidR="00F94E08" w:rsidRDefault="00F94E08" w:rsidP="003D343A">
      <w:pPr>
        <w:spacing w:after="0" w:line="240" w:lineRule="auto"/>
        <w:jc w:val="both"/>
        <w:rPr>
          <w:rFonts w:cstheme="minorHAnsi"/>
          <w:lang w:val="es-ES"/>
        </w:rPr>
      </w:pPr>
    </w:p>
    <w:p w:rsidR="000E4D40" w:rsidRDefault="000E4D40" w:rsidP="003D343A">
      <w:pPr>
        <w:spacing w:after="0" w:line="240" w:lineRule="auto"/>
        <w:jc w:val="both"/>
        <w:rPr>
          <w:rFonts w:cstheme="minorHAnsi"/>
          <w:lang w:val="es-ES"/>
        </w:rPr>
      </w:pPr>
      <w:r w:rsidRPr="00657BA7">
        <w:rPr>
          <w:rFonts w:cstheme="minorHAnsi"/>
          <w:lang w:val="es-ES"/>
        </w:rPr>
        <w:t>Estas mejoras engloban la renovación del Centro de Control de Monitoreo (CCTV) de la gerencia de Seguridad de TCA, un enclave estratégico que brinda transparencia en la seguridad operacional y se enfoca en la AVSEC (Aviation Security, cuyo propósito es prevenir actos de interferencia ilícita en la aviación civil). Este centro es esencial para seguir la trazabilidad de la carga aérea y garantizar el cumplimiento de las normativas en áreas que funcionan ininterrumpidamente en la jurisdicción de la zona primaria aduanera y de seguridad aeroportuaria, situada en el Aeropuerto Internacional de Ezeiza.</w:t>
      </w:r>
    </w:p>
    <w:p w:rsidR="002C0896" w:rsidRDefault="002C0896" w:rsidP="003D343A">
      <w:pPr>
        <w:spacing w:after="0" w:line="240" w:lineRule="auto"/>
        <w:jc w:val="both"/>
        <w:rPr>
          <w:rFonts w:cstheme="minorHAnsi"/>
          <w:lang w:val="es-ES"/>
        </w:rPr>
      </w:pPr>
    </w:p>
    <w:p w:rsidR="002C0896" w:rsidRDefault="002C0896" w:rsidP="003D343A">
      <w:pPr>
        <w:spacing w:after="0" w:line="240" w:lineRule="auto"/>
        <w:jc w:val="both"/>
        <w:rPr>
          <w:rFonts w:cstheme="minorHAnsi"/>
          <w:lang w:val="es-ES"/>
        </w:rPr>
      </w:pPr>
      <w:r w:rsidRPr="00657BA7">
        <w:rPr>
          <w:rFonts w:cstheme="minorHAnsi"/>
          <w:lang w:val="es-ES"/>
        </w:rPr>
        <w:t>Esta innovación habilita a nuestros operadores de CCTV a desempeñarse con mayor fluidez y una prontitud de respuesta ante las diversas responsabilidades de su ámbito. Además, les brinda la capacidad de integrar análisis de video en una infraestructura compuesta por 350 cámaras alojadas en 29 servidores, que almacenan meticulosamente un año entero de registros fílmicos.</w:t>
      </w:r>
    </w:p>
    <w:p w:rsidR="00B3241A" w:rsidRDefault="00B3241A" w:rsidP="003D343A">
      <w:pPr>
        <w:spacing w:after="0" w:line="240" w:lineRule="auto"/>
        <w:jc w:val="both"/>
        <w:rPr>
          <w:rFonts w:cstheme="minorHAnsi"/>
          <w:lang w:val="es-ES"/>
        </w:rPr>
      </w:pPr>
    </w:p>
    <w:p w:rsidR="002C0896" w:rsidRPr="002C0896" w:rsidRDefault="002C0896" w:rsidP="003D343A">
      <w:pPr>
        <w:spacing w:after="0" w:line="240" w:lineRule="auto"/>
        <w:jc w:val="both"/>
        <w:rPr>
          <w:rFonts w:cstheme="minorHAnsi"/>
          <w:lang w:val="es-ES"/>
        </w:rPr>
      </w:pPr>
      <w:r w:rsidRPr="00657BA7">
        <w:rPr>
          <w:rFonts w:cstheme="minorHAnsi"/>
          <w:lang w:val="es-ES"/>
        </w:rPr>
        <w:t>Liderada por las gerencias de Infraestructura y Sistemas, esta transformación abrazó la modificación total de la estructura existente, la construcción moderna de tipo "</w:t>
      </w:r>
      <w:r w:rsidRPr="003D343A">
        <w:rPr>
          <w:rFonts w:cstheme="minorHAnsi"/>
          <w:i/>
          <w:lang w:val="es-ES"/>
        </w:rPr>
        <w:t>drywall</w:t>
      </w:r>
      <w:r w:rsidRPr="00657BA7">
        <w:rPr>
          <w:rFonts w:cstheme="minorHAnsi"/>
          <w:lang w:val="es-ES"/>
        </w:rPr>
        <w:t>". Además, la oficina se encuentra equipada con comunicación de radio digital, encriptada bajo el protocolo "DMR", permitiendo una comunicación en tiempo real con todo el conjunto de equipos que integran el sistema repetidor.</w:t>
      </w:r>
    </w:p>
    <w:p w:rsidR="002C0896" w:rsidRPr="002C0896" w:rsidRDefault="002C0896" w:rsidP="003D343A">
      <w:pPr>
        <w:spacing w:after="0" w:line="240" w:lineRule="auto"/>
        <w:jc w:val="both"/>
        <w:rPr>
          <w:rFonts w:cstheme="minorHAnsi"/>
          <w:lang w:val="es-ES"/>
        </w:rPr>
      </w:pPr>
    </w:p>
    <w:p w:rsidR="002C0896" w:rsidRPr="00B3241A" w:rsidRDefault="002C0896" w:rsidP="003D343A">
      <w:pPr>
        <w:spacing w:after="0" w:line="240" w:lineRule="auto"/>
        <w:jc w:val="both"/>
        <w:rPr>
          <w:rFonts w:cstheme="minorHAnsi"/>
          <w:lang w:val="es-ES"/>
        </w:rPr>
      </w:pPr>
      <w:r w:rsidRPr="00657BA7">
        <w:rPr>
          <w:rFonts w:cstheme="minorHAnsi"/>
          <w:lang w:val="es-ES"/>
        </w:rPr>
        <w:t>El proceso de rediseño abarca la expansión del sector de monitoreo, la incorporación de doce nuevas pantallas adicionales, llegando a un total de 22. Se unifican áreas y se elevan los estándares de los equipos tecnológicos, creando mayor eficiencia.</w:t>
      </w:r>
    </w:p>
    <w:p w:rsidR="003E369C" w:rsidRDefault="003E369C" w:rsidP="003D343A">
      <w:pPr>
        <w:pStyle w:val="Prrafodelista"/>
        <w:spacing w:after="0" w:line="240" w:lineRule="auto"/>
        <w:ind w:left="1440"/>
        <w:jc w:val="both"/>
        <w:rPr>
          <w:rFonts w:ascii="Times New Roman" w:hAnsi="Times New Roman" w:cs="Times New Roman"/>
          <w:sz w:val="24"/>
          <w:lang w:val="es-ES"/>
        </w:rPr>
      </w:pPr>
    </w:p>
    <w:p w:rsidR="002C0896" w:rsidRPr="00F94E08" w:rsidRDefault="002C0896" w:rsidP="003D343A">
      <w:pPr>
        <w:spacing w:after="0" w:line="240" w:lineRule="auto"/>
        <w:jc w:val="both"/>
        <w:rPr>
          <w:rFonts w:cstheme="minorHAnsi"/>
          <w:lang w:val="es-ES"/>
        </w:rPr>
      </w:pPr>
      <w:r w:rsidRPr="00657BA7">
        <w:rPr>
          <w:rFonts w:cstheme="minorHAnsi"/>
          <w:lang w:val="es-ES"/>
        </w:rPr>
        <w:t>El nuevo CCTV no solo vela por</w:t>
      </w:r>
      <w:r w:rsidR="006561A6">
        <w:rPr>
          <w:rFonts w:cstheme="minorHAnsi"/>
          <w:lang w:val="es-ES"/>
        </w:rPr>
        <w:t xml:space="preserve"> TCA</w:t>
      </w:r>
      <w:r w:rsidRPr="00657BA7">
        <w:rPr>
          <w:rFonts w:cstheme="minorHAnsi"/>
          <w:lang w:val="es-ES"/>
        </w:rPr>
        <w:t xml:space="preserve"> Ezeiza; su alcance se extiende a las sucursales de TCA en Aeroparque, Mar del Plata, Córdoba, Mendoza y Tucumán. Además, ofrece un espacio dedicado a la atención al cliente y la recepción de auditorías de seguridad para líneas aéreas y agentes de carga.</w:t>
      </w:r>
    </w:p>
    <w:p w:rsidR="004179DB" w:rsidRDefault="004179DB" w:rsidP="003D343A">
      <w:pPr>
        <w:pStyle w:val="Prrafodelista"/>
        <w:spacing w:after="0" w:line="240" w:lineRule="auto"/>
        <w:ind w:left="1440"/>
        <w:jc w:val="both"/>
        <w:rPr>
          <w:rFonts w:ascii="Times New Roman" w:hAnsi="Times New Roman" w:cs="Times New Roman"/>
          <w:sz w:val="24"/>
          <w:lang w:val="es-ES"/>
        </w:rPr>
      </w:pPr>
    </w:p>
    <w:p w:rsidR="00657BA7" w:rsidRDefault="00657BA7" w:rsidP="003D343A">
      <w:pPr>
        <w:spacing w:after="0" w:line="240" w:lineRule="auto"/>
        <w:jc w:val="both"/>
        <w:rPr>
          <w:rFonts w:cstheme="minorHAnsi"/>
        </w:rPr>
      </w:pPr>
      <w:r w:rsidRPr="00657BA7">
        <w:rPr>
          <w:rFonts w:cstheme="minorHAnsi"/>
        </w:rPr>
        <w:t>También, se suma una oficina forense que cursa requerimientos a través de procesos legales, antes de mostrar las imágenes a los clientes. Un espacio de análisis de video con una gran pantalla de 65 pulgadas para una visualización excepcional.</w:t>
      </w:r>
    </w:p>
    <w:p w:rsidR="00657BA7" w:rsidRDefault="00657BA7" w:rsidP="003D343A">
      <w:pPr>
        <w:spacing w:after="0" w:line="240" w:lineRule="auto"/>
        <w:jc w:val="both"/>
        <w:rPr>
          <w:rFonts w:cstheme="minorHAnsi"/>
          <w:lang w:val="es-ES"/>
        </w:rPr>
      </w:pPr>
    </w:p>
    <w:p w:rsidR="00657BA7" w:rsidRDefault="00657BA7" w:rsidP="003D343A">
      <w:pPr>
        <w:spacing w:after="0" w:line="240" w:lineRule="auto"/>
        <w:jc w:val="both"/>
        <w:rPr>
          <w:rFonts w:cstheme="minorHAnsi"/>
          <w:lang w:val="es-ES"/>
        </w:rPr>
      </w:pPr>
    </w:p>
    <w:p w:rsidR="003D343A" w:rsidRDefault="003D343A" w:rsidP="003D343A">
      <w:pPr>
        <w:spacing w:after="0" w:line="240" w:lineRule="auto"/>
        <w:jc w:val="both"/>
        <w:rPr>
          <w:rFonts w:cstheme="minorHAnsi"/>
          <w:lang w:val="es-ES"/>
        </w:rPr>
      </w:pPr>
    </w:p>
    <w:p w:rsidR="00657BA7" w:rsidRPr="00F94E08" w:rsidRDefault="00657BA7" w:rsidP="003D343A">
      <w:pPr>
        <w:spacing w:after="0" w:line="240" w:lineRule="auto"/>
        <w:jc w:val="both"/>
        <w:rPr>
          <w:rFonts w:cstheme="minorHAnsi"/>
          <w:lang w:val="es-ES"/>
        </w:rPr>
      </w:pPr>
      <w:r w:rsidRPr="00657BA7">
        <w:rPr>
          <w:rFonts w:cstheme="minorHAnsi"/>
          <w:lang w:val="es-ES"/>
        </w:rPr>
        <w:lastRenderedPageBreak/>
        <w:t>Estas renovaciones y actualizaciones en la gerencia de seguridad de TCA desencadenarán:</w:t>
      </w:r>
    </w:p>
    <w:p w:rsidR="005D548C" w:rsidRPr="007B371A" w:rsidRDefault="005D548C" w:rsidP="003D343A">
      <w:pPr>
        <w:pStyle w:val="Prrafodelista"/>
        <w:spacing w:after="0" w:line="240" w:lineRule="auto"/>
        <w:jc w:val="both"/>
        <w:rPr>
          <w:rFonts w:cstheme="minorHAnsi"/>
          <w:lang w:val="es-ES"/>
        </w:rPr>
      </w:pPr>
    </w:p>
    <w:p w:rsidR="00657BA7" w:rsidRPr="00657BA7" w:rsidRDefault="00657BA7" w:rsidP="003D343A">
      <w:pPr>
        <w:spacing w:after="0" w:line="240" w:lineRule="auto"/>
        <w:jc w:val="both"/>
        <w:rPr>
          <w:rFonts w:cstheme="minorHAnsi"/>
          <w:lang w:val="es-ES"/>
        </w:rPr>
      </w:pPr>
      <w:r w:rsidRPr="00657BA7">
        <w:rPr>
          <w:rFonts w:cstheme="minorHAnsi"/>
          <w:lang w:val="es-ES"/>
        </w:rPr>
        <w:t>a. La aplicación de tecnología de Avigilon con la m</w:t>
      </w:r>
      <w:r w:rsidR="003D343A">
        <w:rPr>
          <w:rFonts w:cstheme="minorHAnsi"/>
          <w:lang w:val="es-ES"/>
        </w:rPr>
        <w:t>a</w:t>
      </w:r>
      <w:r w:rsidRPr="00657BA7">
        <w:rPr>
          <w:rFonts w:cstheme="minorHAnsi"/>
          <w:lang w:val="es-ES"/>
        </w:rPr>
        <w:t>trix virtual y el uso de herramientas colaborativas para gestionar estaciones en modo desatendido.</w:t>
      </w:r>
    </w:p>
    <w:p w:rsidR="00657BA7" w:rsidRPr="00657BA7" w:rsidRDefault="00657BA7" w:rsidP="003D343A">
      <w:pPr>
        <w:spacing w:after="0" w:line="240" w:lineRule="auto"/>
        <w:jc w:val="both"/>
        <w:rPr>
          <w:rFonts w:cstheme="minorHAnsi"/>
          <w:lang w:val="es-ES"/>
        </w:rPr>
      </w:pPr>
      <w:r w:rsidRPr="00657BA7">
        <w:rPr>
          <w:rFonts w:cstheme="minorHAnsi"/>
          <w:lang w:val="es-ES"/>
        </w:rPr>
        <w:t>b. La gestión de la seguridad en el control de accesos a los depósitos de TCA, enlazada con la actualización de software y la inteligencia artificial aplicada a las cámaras de seguridad analíticas que se extienden por toda la terminal.</w:t>
      </w:r>
    </w:p>
    <w:p w:rsidR="00657BA7" w:rsidRPr="00657BA7" w:rsidRDefault="00657BA7" w:rsidP="003D343A">
      <w:pPr>
        <w:spacing w:after="0" w:line="240" w:lineRule="auto"/>
        <w:jc w:val="both"/>
        <w:rPr>
          <w:rFonts w:cstheme="minorHAnsi"/>
          <w:lang w:val="es-ES"/>
        </w:rPr>
      </w:pPr>
      <w:r w:rsidRPr="00657BA7">
        <w:rPr>
          <w:rFonts w:cstheme="minorHAnsi"/>
          <w:lang w:val="es-ES"/>
        </w:rPr>
        <w:t>c. El monitoreo digital de la seguridad de la carga aérea de exportación que cruza desde Argentina al mundo, bajo el cumplimiento de estándares internacionales de seguridad (TCA es agente acreditado por la autoridad de seguridad aeroportuaria nacional: PSA).</w:t>
      </w:r>
    </w:p>
    <w:p w:rsidR="00657BA7" w:rsidRPr="00657BA7" w:rsidRDefault="00657BA7" w:rsidP="003D343A">
      <w:pPr>
        <w:spacing w:after="0" w:line="240" w:lineRule="auto"/>
        <w:jc w:val="both"/>
        <w:rPr>
          <w:rFonts w:cstheme="minorHAnsi"/>
          <w:lang w:val="es-ES"/>
        </w:rPr>
      </w:pPr>
      <w:r w:rsidRPr="00657BA7">
        <w:rPr>
          <w:rFonts w:cstheme="minorHAnsi"/>
          <w:lang w:val="es-ES"/>
        </w:rPr>
        <w:t xml:space="preserve">d. La eficiencia mejorada de los operadores especializados del CCTV en el monitoreo de la seguridad del flujo de la carga de exportación, importación y </w:t>
      </w:r>
      <w:r w:rsidRPr="003D343A">
        <w:rPr>
          <w:rFonts w:cstheme="minorHAnsi"/>
          <w:i/>
          <w:lang w:val="es-ES"/>
        </w:rPr>
        <w:t>courier</w:t>
      </w:r>
      <w:r w:rsidRPr="00657BA7">
        <w:rPr>
          <w:rFonts w:cstheme="minorHAnsi"/>
          <w:lang w:val="es-ES"/>
        </w:rPr>
        <w:t>, 24/7 a lo largo del año.</w:t>
      </w:r>
    </w:p>
    <w:p w:rsidR="00657BA7" w:rsidRPr="00657BA7" w:rsidRDefault="00657BA7" w:rsidP="003D343A">
      <w:pPr>
        <w:spacing w:after="0" w:line="240" w:lineRule="auto"/>
        <w:jc w:val="both"/>
        <w:rPr>
          <w:rFonts w:cstheme="minorHAnsi"/>
          <w:lang w:val="es-ES"/>
        </w:rPr>
      </w:pPr>
      <w:r w:rsidRPr="00657BA7">
        <w:rPr>
          <w:rFonts w:cstheme="minorHAnsi"/>
          <w:lang w:val="es-ES"/>
        </w:rPr>
        <w:t>e. La optimización del monitoreo en seguridad operacional, patrimonial, cargas valiosas, gestión de alarmas, accesos y prevención de incendios.</w:t>
      </w:r>
    </w:p>
    <w:p w:rsidR="00657BA7" w:rsidRPr="00657BA7" w:rsidRDefault="00657BA7" w:rsidP="003D343A">
      <w:pPr>
        <w:spacing w:after="0" w:line="240" w:lineRule="auto"/>
        <w:jc w:val="both"/>
        <w:rPr>
          <w:rFonts w:cstheme="minorHAnsi"/>
          <w:lang w:val="es-ES"/>
        </w:rPr>
      </w:pPr>
      <w:r w:rsidRPr="00657BA7">
        <w:rPr>
          <w:rFonts w:cstheme="minorHAnsi"/>
          <w:lang w:val="es-ES"/>
        </w:rPr>
        <w:t>f. La coordinación de planes de contingencia con las autoridades relevantes en situaciones de seguridad aérea, desde el lado aéreo y los depósitos hasta la tierra, en casos de emergencia.</w:t>
      </w:r>
    </w:p>
    <w:p w:rsidR="00657BA7" w:rsidRPr="00657BA7" w:rsidRDefault="00657BA7" w:rsidP="003D343A">
      <w:pPr>
        <w:spacing w:after="0" w:line="240" w:lineRule="auto"/>
        <w:jc w:val="both"/>
        <w:rPr>
          <w:rFonts w:cstheme="minorHAnsi"/>
          <w:lang w:val="es-ES"/>
        </w:rPr>
      </w:pPr>
      <w:r w:rsidRPr="00657BA7">
        <w:rPr>
          <w:rFonts w:cstheme="minorHAnsi"/>
          <w:lang w:val="es-ES"/>
        </w:rPr>
        <w:t>g. La coordinación y gestión del control de seguridad del flujo y estado de la carga aérea ante organismos como PSA, Aduana, Senasa, ANMAC, ORSNA, Casa de la Moneda de la Nación, Ministerios de Seguridad a nivel nacional y provincial, y diversas entidades gubernamentales y no gubernamentales.</w:t>
      </w:r>
    </w:p>
    <w:p w:rsidR="006D5D89" w:rsidRPr="007B371A" w:rsidRDefault="006D5D89" w:rsidP="003D343A">
      <w:pPr>
        <w:spacing w:after="0" w:line="240" w:lineRule="auto"/>
        <w:jc w:val="both"/>
        <w:rPr>
          <w:rFonts w:cstheme="minorHAnsi"/>
          <w:lang w:val="es-ES"/>
        </w:rPr>
      </w:pPr>
    </w:p>
    <w:p w:rsidR="006D5D89" w:rsidRPr="007B371A" w:rsidRDefault="006D5D89" w:rsidP="003D343A">
      <w:pPr>
        <w:spacing w:after="0" w:line="240" w:lineRule="auto"/>
        <w:jc w:val="both"/>
        <w:rPr>
          <w:rFonts w:cstheme="minorHAnsi"/>
          <w:lang w:val="es-ES"/>
        </w:rPr>
      </w:pPr>
    </w:p>
    <w:p w:rsidR="00DC65E6" w:rsidRPr="007B371A" w:rsidRDefault="00297B39" w:rsidP="003D343A">
      <w:pPr>
        <w:jc w:val="both"/>
        <w:rPr>
          <w:rFonts w:cstheme="minorHAnsi"/>
          <w:noProof/>
          <w:lang w:eastAsia="es-AR"/>
        </w:rPr>
      </w:pPr>
      <w:r>
        <w:rPr>
          <w:rFonts w:cstheme="minorHAnsi"/>
          <w:noProof/>
          <w:lang w:eastAsia="es-AR"/>
        </w:rPr>
        <w:t>C</w:t>
      </w:r>
      <w:r w:rsidR="008121A7" w:rsidRPr="007B371A">
        <w:rPr>
          <w:rFonts w:cstheme="minorHAnsi"/>
          <w:noProof/>
          <w:lang w:eastAsia="es-AR"/>
        </w:rPr>
        <w:t xml:space="preserve">on </w:t>
      </w:r>
      <w:r>
        <w:rPr>
          <w:rFonts w:cstheme="minorHAnsi"/>
          <w:noProof/>
          <w:lang w:eastAsia="es-AR"/>
        </w:rPr>
        <w:t xml:space="preserve">esta gran </w:t>
      </w:r>
      <w:r w:rsidR="008121A7" w:rsidRPr="007B371A">
        <w:rPr>
          <w:rFonts w:cstheme="minorHAnsi"/>
          <w:noProof/>
          <w:lang w:eastAsia="es-AR"/>
        </w:rPr>
        <w:t xml:space="preserve">transformación digital integral </w:t>
      </w:r>
      <w:r w:rsidR="0032784B" w:rsidRPr="007B371A">
        <w:rPr>
          <w:rFonts w:cstheme="minorHAnsi"/>
          <w:noProof/>
          <w:lang w:eastAsia="es-AR"/>
        </w:rPr>
        <w:t>(TDI)</w:t>
      </w:r>
      <w:r>
        <w:rPr>
          <w:rFonts w:cstheme="minorHAnsi"/>
          <w:noProof/>
          <w:lang w:eastAsia="es-AR"/>
        </w:rPr>
        <w:t xml:space="preserve">, TCA </w:t>
      </w:r>
      <w:r w:rsidR="00D26D64" w:rsidRPr="007B371A">
        <w:rPr>
          <w:rFonts w:cstheme="minorHAnsi"/>
          <w:noProof/>
          <w:lang w:eastAsia="es-AR"/>
        </w:rPr>
        <w:t>s</w:t>
      </w:r>
      <w:r>
        <w:rPr>
          <w:rFonts w:cstheme="minorHAnsi"/>
          <w:noProof/>
          <w:lang w:eastAsia="es-AR"/>
        </w:rPr>
        <w:t>igue</w:t>
      </w:r>
      <w:r w:rsidR="00D26D64" w:rsidRPr="007B371A">
        <w:rPr>
          <w:rFonts w:cstheme="minorHAnsi"/>
          <w:noProof/>
          <w:lang w:eastAsia="es-AR"/>
        </w:rPr>
        <w:t xml:space="preserve"> </w:t>
      </w:r>
      <w:r>
        <w:rPr>
          <w:rFonts w:cstheme="minorHAnsi"/>
          <w:noProof/>
          <w:lang w:eastAsia="es-AR"/>
        </w:rPr>
        <w:t xml:space="preserve">creciendo para ser cada vez más segura y eficiente. </w:t>
      </w:r>
    </w:p>
    <w:p w:rsidR="0032155A" w:rsidRPr="007B371A" w:rsidRDefault="0032155A" w:rsidP="0032155A">
      <w:pPr>
        <w:spacing w:after="0" w:line="240" w:lineRule="auto"/>
        <w:jc w:val="both"/>
        <w:rPr>
          <w:rFonts w:eastAsia="Times New Roman" w:cstheme="minorHAnsi"/>
          <w:b/>
          <w:bCs/>
          <w:lang w:val="es-ES" w:eastAsia="es-ES"/>
        </w:rPr>
      </w:pPr>
    </w:p>
    <w:p w:rsidR="00657BA7" w:rsidRPr="003D343A" w:rsidRDefault="00657BA7" w:rsidP="00657BA7">
      <w:pPr>
        <w:jc w:val="both"/>
        <w:rPr>
          <w:rFonts w:cstheme="minorHAnsi"/>
          <w:u w:val="single"/>
          <w:lang w:val="es-ES"/>
        </w:rPr>
      </w:pPr>
      <w:r w:rsidRPr="003D343A">
        <w:rPr>
          <w:rFonts w:cstheme="minorHAnsi"/>
          <w:u w:val="single"/>
          <w:lang w:val="es-ES"/>
        </w:rPr>
        <w:t xml:space="preserve">Sobre </w:t>
      </w:r>
      <w:r w:rsidR="003D343A" w:rsidRPr="003D343A">
        <w:rPr>
          <w:rFonts w:cstheme="minorHAnsi"/>
          <w:u w:val="single"/>
          <w:lang w:val="es-ES"/>
        </w:rPr>
        <w:t xml:space="preserve">la </w:t>
      </w:r>
      <w:r w:rsidRPr="003D343A">
        <w:rPr>
          <w:rFonts w:cstheme="minorHAnsi"/>
          <w:u w:val="single"/>
          <w:lang w:val="es-ES"/>
        </w:rPr>
        <w:t>T</w:t>
      </w:r>
      <w:r w:rsidR="003D343A" w:rsidRPr="003D343A">
        <w:rPr>
          <w:rFonts w:cstheme="minorHAnsi"/>
          <w:u w:val="single"/>
          <w:lang w:val="es-ES"/>
        </w:rPr>
        <w:t xml:space="preserve">erminal de </w:t>
      </w:r>
      <w:r w:rsidRPr="003D343A">
        <w:rPr>
          <w:rFonts w:cstheme="minorHAnsi"/>
          <w:u w:val="single"/>
          <w:lang w:val="es-ES"/>
        </w:rPr>
        <w:t>C</w:t>
      </w:r>
      <w:r w:rsidR="003D343A" w:rsidRPr="003D343A">
        <w:rPr>
          <w:rFonts w:cstheme="minorHAnsi"/>
          <w:u w:val="single"/>
          <w:lang w:val="es-ES"/>
        </w:rPr>
        <w:t xml:space="preserve">argas </w:t>
      </w:r>
      <w:r w:rsidRPr="003D343A">
        <w:rPr>
          <w:rFonts w:cstheme="minorHAnsi"/>
          <w:u w:val="single"/>
          <w:lang w:val="es-ES"/>
        </w:rPr>
        <w:t>A</w:t>
      </w:r>
      <w:r w:rsidR="003D343A" w:rsidRPr="003D343A">
        <w:rPr>
          <w:rFonts w:cstheme="minorHAnsi"/>
          <w:u w:val="single"/>
          <w:lang w:val="es-ES"/>
        </w:rPr>
        <w:t>rgentina</w:t>
      </w:r>
    </w:p>
    <w:p w:rsidR="00173C07" w:rsidRDefault="00173C07" w:rsidP="00173C07">
      <w:pPr>
        <w:jc w:val="both"/>
        <w:rPr>
          <w:rFonts w:cstheme="minorHAnsi"/>
          <w:lang w:val="es-ES"/>
        </w:rPr>
      </w:pPr>
      <w:r>
        <w:rPr>
          <w:rFonts w:cstheme="minorHAnsi"/>
          <w:lang w:val="es-ES"/>
        </w:rPr>
        <w:t>La Terminal de Cargas Argentina</w:t>
      </w:r>
      <w:r w:rsidR="00657BA7" w:rsidRPr="00173C07">
        <w:rPr>
          <w:rFonts w:cstheme="minorHAnsi"/>
          <w:lang w:val="es-ES"/>
        </w:rPr>
        <w:t xml:space="preserve">, es una unidad de negocios de AA2000, </w:t>
      </w:r>
      <w:r>
        <w:rPr>
          <w:rFonts w:cstheme="minorHAnsi"/>
          <w:lang w:val="es-ES"/>
        </w:rPr>
        <w:t xml:space="preserve">la cual </w:t>
      </w:r>
      <w:r w:rsidR="00657BA7" w:rsidRPr="00173C07">
        <w:rPr>
          <w:rFonts w:cstheme="minorHAnsi"/>
          <w:lang w:val="es-ES"/>
        </w:rPr>
        <w:t xml:space="preserve">lidera la logística aérea en Argentina. Con presencia en Ezeiza, Córdoba, Mendoza, Mar </w:t>
      </w:r>
      <w:r>
        <w:rPr>
          <w:rFonts w:cstheme="minorHAnsi"/>
          <w:lang w:val="es-ES"/>
        </w:rPr>
        <w:t xml:space="preserve">del Plata y Aeroparque, </w:t>
      </w:r>
      <w:r w:rsidR="00657BA7" w:rsidRPr="00173C07">
        <w:rPr>
          <w:rFonts w:cstheme="minorHAnsi"/>
          <w:lang w:val="es-ES"/>
        </w:rPr>
        <w:t>redefiniendo la importación y exportación aérea. Nuestra historia es una constante evolución hacia un futuro más seguro y conectado en la logística.</w:t>
      </w:r>
      <w:r w:rsidRPr="00173C07">
        <w:rPr>
          <w:rFonts w:cstheme="minorHAnsi"/>
        </w:rPr>
        <w:t xml:space="preserve"> </w:t>
      </w:r>
    </w:p>
    <w:p w:rsidR="00173C07" w:rsidRDefault="00173C07" w:rsidP="00173C07">
      <w:pPr>
        <w:jc w:val="both"/>
        <w:rPr>
          <w:rFonts w:cstheme="minorHAnsi"/>
          <w:lang w:val="es-ES"/>
        </w:rPr>
      </w:pPr>
      <w:r w:rsidRPr="00173C07">
        <w:rPr>
          <w:rFonts w:cstheme="minorHAnsi"/>
          <w:lang w:val="es-ES"/>
        </w:rPr>
        <w:t xml:space="preserve">Más información en: </w:t>
      </w:r>
      <w:hyperlink r:id="rId8" w:history="1">
        <w:r w:rsidR="003D343A" w:rsidRPr="00B46D16">
          <w:rPr>
            <w:rStyle w:val="Hipervnculo"/>
            <w:rFonts w:cstheme="minorHAnsi"/>
            <w:lang w:val="es-ES"/>
          </w:rPr>
          <w:t>www.tca.aero</w:t>
        </w:r>
      </w:hyperlink>
    </w:p>
    <w:p w:rsidR="003D343A" w:rsidRPr="00173C07" w:rsidRDefault="003D343A" w:rsidP="00173C07">
      <w:pPr>
        <w:jc w:val="both"/>
        <w:rPr>
          <w:rFonts w:cstheme="minorHAnsi"/>
          <w:lang w:val="es-ES"/>
        </w:rPr>
      </w:pPr>
    </w:p>
    <w:p w:rsidR="0032155A" w:rsidRPr="00173C07" w:rsidRDefault="0032155A" w:rsidP="00657BA7">
      <w:pPr>
        <w:jc w:val="both"/>
        <w:rPr>
          <w:rFonts w:cstheme="minorHAnsi"/>
          <w:lang w:val="es-ES"/>
        </w:rPr>
      </w:pPr>
    </w:p>
    <w:p w:rsidR="00AD61F8" w:rsidRPr="008121A7" w:rsidRDefault="00AD61F8" w:rsidP="005D548C">
      <w:pPr>
        <w:jc w:val="both"/>
        <w:rPr>
          <w:rFonts w:ascii="Times New Roman" w:hAnsi="Times New Roman" w:cs="Times New Roman"/>
          <w:lang w:val="es-ES"/>
        </w:rPr>
      </w:pPr>
    </w:p>
    <w:sectPr w:rsidR="00AD61F8" w:rsidRPr="008121A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30" w:rsidRDefault="00040530" w:rsidP="00920547">
      <w:pPr>
        <w:spacing w:after="0" w:line="240" w:lineRule="auto"/>
      </w:pPr>
      <w:r>
        <w:separator/>
      </w:r>
    </w:p>
  </w:endnote>
  <w:endnote w:type="continuationSeparator" w:id="0">
    <w:p w:rsidR="00040530" w:rsidRDefault="00040530" w:rsidP="0092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11938"/>
      <w:docPartObj>
        <w:docPartGallery w:val="Page Numbers (Bottom of Page)"/>
        <w:docPartUnique/>
      </w:docPartObj>
    </w:sdtPr>
    <w:sdtEndPr/>
    <w:sdtContent>
      <w:p w:rsidR="00920547" w:rsidRDefault="00920547">
        <w:pPr>
          <w:pStyle w:val="Piedepgina"/>
          <w:jc w:val="right"/>
        </w:pPr>
        <w:r>
          <w:fldChar w:fldCharType="begin"/>
        </w:r>
        <w:r>
          <w:instrText>PAGE   \* MERGEFORMAT</w:instrText>
        </w:r>
        <w:r>
          <w:fldChar w:fldCharType="separate"/>
        </w:r>
        <w:r w:rsidR="00F7684F" w:rsidRPr="00F7684F">
          <w:rPr>
            <w:noProof/>
            <w:lang w:val="es-ES"/>
          </w:rPr>
          <w:t>1</w:t>
        </w:r>
        <w:r>
          <w:fldChar w:fldCharType="end"/>
        </w:r>
      </w:p>
    </w:sdtContent>
  </w:sdt>
  <w:p w:rsidR="00920547" w:rsidRDefault="009205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30" w:rsidRDefault="00040530" w:rsidP="00920547">
      <w:pPr>
        <w:spacing w:after="0" w:line="240" w:lineRule="auto"/>
      </w:pPr>
      <w:r>
        <w:separator/>
      </w:r>
    </w:p>
  </w:footnote>
  <w:footnote w:type="continuationSeparator" w:id="0">
    <w:p w:rsidR="00040530" w:rsidRDefault="00040530" w:rsidP="00920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E58C0"/>
    <w:multiLevelType w:val="hybridMultilevel"/>
    <w:tmpl w:val="48E028A0"/>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E6"/>
    <w:rsid w:val="00001BC5"/>
    <w:rsid w:val="00040530"/>
    <w:rsid w:val="000502DA"/>
    <w:rsid w:val="000E4D40"/>
    <w:rsid w:val="00146C7F"/>
    <w:rsid w:val="00173C07"/>
    <w:rsid w:val="00297B39"/>
    <w:rsid w:val="002C0896"/>
    <w:rsid w:val="0032155A"/>
    <w:rsid w:val="0032784B"/>
    <w:rsid w:val="00346777"/>
    <w:rsid w:val="00375DB3"/>
    <w:rsid w:val="003D343A"/>
    <w:rsid w:val="003E369C"/>
    <w:rsid w:val="004179DB"/>
    <w:rsid w:val="005203FF"/>
    <w:rsid w:val="00532DA4"/>
    <w:rsid w:val="005434A4"/>
    <w:rsid w:val="00590F99"/>
    <w:rsid w:val="005D548C"/>
    <w:rsid w:val="005D64CB"/>
    <w:rsid w:val="00601A1D"/>
    <w:rsid w:val="00604BC1"/>
    <w:rsid w:val="006074DD"/>
    <w:rsid w:val="0061453D"/>
    <w:rsid w:val="00652E3D"/>
    <w:rsid w:val="006561A6"/>
    <w:rsid w:val="00657BA7"/>
    <w:rsid w:val="00696AC9"/>
    <w:rsid w:val="006D5D89"/>
    <w:rsid w:val="007048EA"/>
    <w:rsid w:val="00744BBC"/>
    <w:rsid w:val="007B371A"/>
    <w:rsid w:val="008121A7"/>
    <w:rsid w:val="00873827"/>
    <w:rsid w:val="00885512"/>
    <w:rsid w:val="008A1594"/>
    <w:rsid w:val="008B6C7C"/>
    <w:rsid w:val="00920547"/>
    <w:rsid w:val="0094718A"/>
    <w:rsid w:val="0097186D"/>
    <w:rsid w:val="00992C63"/>
    <w:rsid w:val="009A008F"/>
    <w:rsid w:val="00A13E40"/>
    <w:rsid w:val="00A52E7E"/>
    <w:rsid w:val="00AD61F8"/>
    <w:rsid w:val="00B16AE1"/>
    <w:rsid w:val="00B2494A"/>
    <w:rsid w:val="00B3241A"/>
    <w:rsid w:val="00B87624"/>
    <w:rsid w:val="00BA337C"/>
    <w:rsid w:val="00CA3D3C"/>
    <w:rsid w:val="00D26D64"/>
    <w:rsid w:val="00D3141F"/>
    <w:rsid w:val="00DC65E6"/>
    <w:rsid w:val="00DE4AEC"/>
    <w:rsid w:val="00EC5D62"/>
    <w:rsid w:val="00F7684F"/>
    <w:rsid w:val="00F94E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07A93-DC29-4D8A-AEF3-2E6B5E0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DB3"/>
    <w:pPr>
      <w:ind w:left="720"/>
      <w:contextualSpacing/>
    </w:pPr>
  </w:style>
  <w:style w:type="paragraph" w:styleId="Encabezado">
    <w:name w:val="header"/>
    <w:basedOn w:val="Normal"/>
    <w:link w:val="EncabezadoCar"/>
    <w:uiPriority w:val="99"/>
    <w:unhideWhenUsed/>
    <w:rsid w:val="009205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0547"/>
  </w:style>
  <w:style w:type="paragraph" w:styleId="Piedepgina">
    <w:name w:val="footer"/>
    <w:basedOn w:val="Normal"/>
    <w:link w:val="PiedepginaCar"/>
    <w:uiPriority w:val="99"/>
    <w:unhideWhenUsed/>
    <w:rsid w:val="009205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547"/>
  </w:style>
  <w:style w:type="character" w:styleId="Hipervnculo">
    <w:name w:val="Hyperlink"/>
    <w:basedOn w:val="Fuentedeprrafopredeter"/>
    <w:uiPriority w:val="99"/>
    <w:unhideWhenUsed/>
    <w:rsid w:val="003D3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3016">
      <w:bodyDiv w:val="1"/>
      <w:marLeft w:val="0"/>
      <w:marRight w:val="0"/>
      <w:marTop w:val="0"/>
      <w:marBottom w:val="0"/>
      <w:divBdr>
        <w:top w:val="none" w:sz="0" w:space="0" w:color="auto"/>
        <w:left w:val="none" w:sz="0" w:space="0" w:color="auto"/>
        <w:bottom w:val="none" w:sz="0" w:space="0" w:color="auto"/>
        <w:right w:val="none" w:sz="0" w:space="0" w:color="auto"/>
      </w:divBdr>
      <w:divsChild>
        <w:div w:id="574821395">
          <w:marLeft w:val="0"/>
          <w:marRight w:val="0"/>
          <w:marTop w:val="0"/>
          <w:marBottom w:val="0"/>
          <w:divBdr>
            <w:top w:val="single" w:sz="2" w:space="0" w:color="D9D9E3"/>
            <w:left w:val="single" w:sz="2" w:space="0" w:color="D9D9E3"/>
            <w:bottom w:val="single" w:sz="2" w:space="0" w:color="D9D9E3"/>
            <w:right w:val="single" w:sz="2" w:space="0" w:color="D9D9E3"/>
          </w:divBdr>
          <w:divsChild>
            <w:div w:id="1941791885">
              <w:marLeft w:val="0"/>
              <w:marRight w:val="0"/>
              <w:marTop w:val="0"/>
              <w:marBottom w:val="0"/>
              <w:divBdr>
                <w:top w:val="single" w:sz="2" w:space="0" w:color="D9D9E3"/>
                <w:left w:val="single" w:sz="2" w:space="0" w:color="D9D9E3"/>
                <w:bottom w:val="single" w:sz="2" w:space="0" w:color="D9D9E3"/>
                <w:right w:val="single" w:sz="2" w:space="0" w:color="D9D9E3"/>
              </w:divBdr>
              <w:divsChild>
                <w:div w:id="1351948826">
                  <w:marLeft w:val="0"/>
                  <w:marRight w:val="0"/>
                  <w:marTop w:val="0"/>
                  <w:marBottom w:val="0"/>
                  <w:divBdr>
                    <w:top w:val="single" w:sz="2" w:space="0" w:color="D9D9E3"/>
                    <w:left w:val="single" w:sz="2" w:space="0" w:color="D9D9E3"/>
                    <w:bottom w:val="single" w:sz="2" w:space="0" w:color="D9D9E3"/>
                    <w:right w:val="single" w:sz="2" w:space="0" w:color="D9D9E3"/>
                  </w:divBdr>
                  <w:divsChild>
                    <w:div w:id="886792815">
                      <w:marLeft w:val="0"/>
                      <w:marRight w:val="0"/>
                      <w:marTop w:val="0"/>
                      <w:marBottom w:val="0"/>
                      <w:divBdr>
                        <w:top w:val="single" w:sz="2" w:space="0" w:color="D9D9E3"/>
                        <w:left w:val="single" w:sz="2" w:space="0" w:color="D9D9E3"/>
                        <w:bottom w:val="single" w:sz="2" w:space="0" w:color="D9D9E3"/>
                        <w:right w:val="single" w:sz="2" w:space="0" w:color="D9D9E3"/>
                      </w:divBdr>
                      <w:divsChild>
                        <w:div w:id="78214657">
                          <w:marLeft w:val="0"/>
                          <w:marRight w:val="0"/>
                          <w:marTop w:val="0"/>
                          <w:marBottom w:val="0"/>
                          <w:divBdr>
                            <w:top w:val="single" w:sz="2" w:space="0" w:color="auto"/>
                            <w:left w:val="single" w:sz="2" w:space="0" w:color="auto"/>
                            <w:bottom w:val="single" w:sz="6" w:space="0" w:color="auto"/>
                            <w:right w:val="single" w:sz="2" w:space="0" w:color="auto"/>
                          </w:divBdr>
                          <w:divsChild>
                            <w:div w:id="580866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834188">
                                  <w:marLeft w:val="0"/>
                                  <w:marRight w:val="0"/>
                                  <w:marTop w:val="0"/>
                                  <w:marBottom w:val="0"/>
                                  <w:divBdr>
                                    <w:top w:val="single" w:sz="2" w:space="0" w:color="D9D9E3"/>
                                    <w:left w:val="single" w:sz="2" w:space="0" w:color="D9D9E3"/>
                                    <w:bottom w:val="single" w:sz="2" w:space="0" w:color="D9D9E3"/>
                                    <w:right w:val="single" w:sz="2" w:space="0" w:color="D9D9E3"/>
                                  </w:divBdr>
                                  <w:divsChild>
                                    <w:div w:id="104808874">
                                      <w:marLeft w:val="0"/>
                                      <w:marRight w:val="0"/>
                                      <w:marTop w:val="0"/>
                                      <w:marBottom w:val="0"/>
                                      <w:divBdr>
                                        <w:top w:val="single" w:sz="2" w:space="0" w:color="D9D9E3"/>
                                        <w:left w:val="single" w:sz="2" w:space="0" w:color="D9D9E3"/>
                                        <w:bottom w:val="single" w:sz="2" w:space="0" w:color="D9D9E3"/>
                                        <w:right w:val="single" w:sz="2" w:space="0" w:color="D9D9E3"/>
                                      </w:divBdr>
                                      <w:divsChild>
                                        <w:div w:id="541329208">
                                          <w:marLeft w:val="0"/>
                                          <w:marRight w:val="0"/>
                                          <w:marTop w:val="0"/>
                                          <w:marBottom w:val="0"/>
                                          <w:divBdr>
                                            <w:top w:val="single" w:sz="2" w:space="0" w:color="D9D9E3"/>
                                            <w:left w:val="single" w:sz="2" w:space="0" w:color="D9D9E3"/>
                                            <w:bottom w:val="single" w:sz="2" w:space="0" w:color="D9D9E3"/>
                                            <w:right w:val="single" w:sz="2" w:space="0" w:color="D9D9E3"/>
                                          </w:divBdr>
                                          <w:divsChild>
                                            <w:div w:id="1752459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6576809">
          <w:marLeft w:val="0"/>
          <w:marRight w:val="0"/>
          <w:marTop w:val="0"/>
          <w:marBottom w:val="0"/>
          <w:divBdr>
            <w:top w:val="none" w:sz="0" w:space="0" w:color="auto"/>
            <w:left w:val="none" w:sz="0" w:space="0" w:color="auto"/>
            <w:bottom w:val="none" w:sz="0" w:space="0" w:color="auto"/>
            <w:right w:val="none" w:sz="0" w:space="0" w:color="auto"/>
          </w:divBdr>
        </w:div>
      </w:divsChild>
    </w:div>
    <w:div w:id="247007850">
      <w:bodyDiv w:val="1"/>
      <w:marLeft w:val="0"/>
      <w:marRight w:val="0"/>
      <w:marTop w:val="0"/>
      <w:marBottom w:val="0"/>
      <w:divBdr>
        <w:top w:val="none" w:sz="0" w:space="0" w:color="auto"/>
        <w:left w:val="none" w:sz="0" w:space="0" w:color="auto"/>
        <w:bottom w:val="none" w:sz="0" w:space="0" w:color="auto"/>
        <w:right w:val="none" w:sz="0" w:space="0" w:color="auto"/>
      </w:divBdr>
    </w:div>
    <w:div w:id="9064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a.ae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ZARZA, Leonardo Arcadio</dc:creator>
  <cp:keywords/>
  <dc:description/>
  <cp:lastModifiedBy>RANNI, Estefania</cp:lastModifiedBy>
  <cp:revision>2</cp:revision>
  <dcterms:created xsi:type="dcterms:W3CDTF">2023-10-24T14:56:00Z</dcterms:created>
  <dcterms:modified xsi:type="dcterms:W3CDTF">2023-10-24T14:56:00Z</dcterms:modified>
</cp:coreProperties>
</file>